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65D8" w14:textId="77777777" w:rsidR="008C618E" w:rsidRPr="00246EAE" w:rsidRDefault="00D33AA8" w:rsidP="0028134B">
      <w:pPr>
        <w:jc w:val="center"/>
        <w:outlineLvl w:val="0"/>
        <w:rPr>
          <w:b/>
          <w:sz w:val="32"/>
          <w:szCs w:val="32"/>
          <w:u w:val="single"/>
        </w:rPr>
      </w:pPr>
      <w:r w:rsidRPr="00246EAE">
        <w:rPr>
          <w:b/>
          <w:sz w:val="32"/>
          <w:szCs w:val="32"/>
          <w:u w:val="single"/>
        </w:rPr>
        <w:t>SOFE Publication Policy</w:t>
      </w:r>
    </w:p>
    <w:p w14:paraId="28D25C3E" w14:textId="77777777" w:rsidR="00246EAE" w:rsidRDefault="00246EAE" w:rsidP="0028134B">
      <w:pPr>
        <w:jc w:val="center"/>
        <w:outlineLvl w:val="0"/>
        <w:rPr>
          <w:bCs/>
        </w:rPr>
      </w:pPr>
    </w:p>
    <w:p w14:paraId="54D905BD" w14:textId="24BE04FE" w:rsidR="00246EAE" w:rsidRPr="00246EAE" w:rsidRDefault="00246EAE" w:rsidP="0028134B">
      <w:pPr>
        <w:jc w:val="center"/>
        <w:outlineLvl w:val="0"/>
        <w:rPr>
          <w:bCs/>
        </w:rPr>
      </w:pPr>
      <w:r w:rsidRPr="00246EAE">
        <w:rPr>
          <w:bCs/>
        </w:rPr>
        <w:t>8/31/18</w:t>
      </w:r>
    </w:p>
    <w:p w14:paraId="0170F97F" w14:textId="77777777" w:rsidR="00D33AA8" w:rsidRPr="00D33AA8" w:rsidRDefault="00D33AA8" w:rsidP="00D33AA8"/>
    <w:p w14:paraId="6620316F" w14:textId="77777777" w:rsidR="00D33AA8" w:rsidRDefault="00286F26" w:rsidP="0028134B">
      <w:pPr>
        <w:outlineLvl w:val="0"/>
        <w:rPr>
          <w:u w:val="single"/>
        </w:rPr>
      </w:pPr>
      <w:r>
        <w:rPr>
          <w:u w:val="single"/>
        </w:rPr>
        <w:t xml:space="preserve">Standing </w:t>
      </w:r>
      <w:r w:rsidR="00D33AA8" w:rsidRPr="00E8208D">
        <w:rPr>
          <w:u w:val="single"/>
        </w:rPr>
        <w:t>Roles</w:t>
      </w:r>
    </w:p>
    <w:p w14:paraId="0068A454" w14:textId="77777777" w:rsidR="00C17A7E" w:rsidRPr="00E8208D" w:rsidRDefault="00C17A7E" w:rsidP="0028134B">
      <w:pPr>
        <w:outlineLvl w:val="0"/>
        <w:rPr>
          <w:u w:val="single"/>
        </w:rPr>
      </w:pPr>
    </w:p>
    <w:p w14:paraId="780BC216" w14:textId="378BFB7D" w:rsidR="002167E0" w:rsidRPr="002167E0" w:rsidRDefault="002167E0" w:rsidP="002167E0">
      <w:pPr>
        <w:pStyle w:val="ListParagraph"/>
        <w:numPr>
          <w:ilvl w:val="0"/>
          <w:numId w:val="1"/>
        </w:numPr>
        <w:jc w:val="both"/>
      </w:pPr>
      <w:r w:rsidRPr="002167E0">
        <w:t>TPS Editor-in-Chief</w:t>
      </w:r>
    </w:p>
    <w:p w14:paraId="6C0C75B8" w14:textId="350D024A" w:rsidR="002167E0" w:rsidRPr="002167E0" w:rsidRDefault="002167E0" w:rsidP="002167E0">
      <w:pPr>
        <w:pStyle w:val="ListParagraph"/>
        <w:numPr>
          <w:ilvl w:val="0"/>
          <w:numId w:val="1"/>
        </w:numPr>
        <w:jc w:val="both"/>
        <w:rPr>
          <w:iCs/>
        </w:rPr>
      </w:pPr>
      <w:r w:rsidRPr="002167E0">
        <w:rPr>
          <w:iCs/>
        </w:rPr>
        <w:t>TPS Senior Editor for Fusion Science &amp; Technology</w:t>
      </w:r>
    </w:p>
    <w:p w14:paraId="1622AAB0" w14:textId="77777777" w:rsidR="00286F26" w:rsidRPr="00D33AA8" w:rsidRDefault="00286F26" w:rsidP="00286F26"/>
    <w:p w14:paraId="4AFAD231" w14:textId="1828C829" w:rsidR="00286F26" w:rsidRDefault="00286F26" w:rsidP="00694049">
      <w:pPr>
        <w:outlineLvl w:val="0"/>
        <w:rPr>
          <w:u w:val="single"/>
        </w:rPr>
      </w:pPr>
      <w:r>
        <w:rPr>
          <w:u w:val="single"/>
        </w:rPr>
        <w:t xml:space="preserve">SOFE Special-Issue </w:t>
      </w:r>
      <w:r w:rsidRPr="00286F26">
        <w:rPr>
          <w:u w:val="single"/>
        </w:rPr>
        <w:t>Roles</w:t>
      </w:r>
    </w:p>
    <w:p w14:paraId="4974DE11" w14:textId="77777777" w:rsidR="00C17A7E" w:rsidRPr="00286F26" w:rsidRDefault="00C17A7E" w:rsidP="00694049">
      <w:pPr>
        <w:outlineLvl w:val="0"/>
        <w:rPr>
          <w:u w:val="single"/>
        </w:rPr>
      </w:pPr>
    </w:p>
    <w:p w14:paraId="13365EA1" w14:textId="768BAE16" w:rsidR="002167E0" w:rsidRPr="002167E0" w:rsidRDefault="002167E0" w:rsidP="002167E0">
      <w:pPr>
        <w:pStyle w:val="ListParagraph"/>
        <w:numPr>
          <w:ilvl w:val="0"/>
          <w:numId w:val="1"/>
        </w:numPr>
        <w:jc w:val="both"/>
        <w:rPr>
          <w:iCs/>
        </w:rPr>
      </w:pPr>
      <w:r w:rsidRPr="002167E0">
        <w:rPr>
          <w:iCs/>
        </w:rPr>
        <w:t>TPS Guest Editor</w:t>
      </w:r>
      <w:r>
        <w:rPr>
          <w:iCs/>
        </w:rPr>
        <w:t xml:space="preserve"> = </w:t>
      </w:r>
      <w:r w:rsidRPr="002167E0">
        <w:rPr>
          <w:iCs/>
        </w:rPr>
        <w:t>SOFE Publication Chair</w:t>
      </w:r>
      <w:r w:rsidR="0087564D">
        <w:rPr>
          <w:iCs/>
        </w:rPr>
        <w:t xml:space="preserve"> </w:t>
      </w:r>
    </w:p>
    <w:p w14:paraId="16CF66C8" w14:textId="71E8E8E1" w:rsidR="002167E0" w:rsidRPr="002167E0" w:rsidRDefault="002167E0" w:rsidP="002167E0">
      <w:pPr>
        <w:pStyle w:val="ListParagraph"/>
        <w:numPr>
          <w:ilvl w:val="0"/>
          <w:numId w:val="1"/>
        </w:numPr>
        <w:jc w:val="both"/>
        <w:rPr>
          <w:iCs/>
        </w:rPr>
      </w:pPr>
      <w:r w:rsidRPr="002167E0">
        <w:rPr>
          <w:iCs/>
        </w:rPr>
        <w:t>Associate Guest Editors</w:t>
      </w:r>
    </w:p>
    <w:p w14:paraId="2DA6C539" w14:textId="0F3B0364" w:rsidR="002167E0" w:rsidRPr="002167E0" w:rsidRDefault="002167E0" w:rsidP="002167E0">
      <w:pPr>
        <w:pStyle w:val="ListParagraph"/>
        <w:numPr>
          <w:ilvl w:val="0"/>
          <w:numId w:val="1"/>
        </w:numPr>
        <w:jc w:val="both"/>
        <w:rPr>
          <w:iCs/>
        </w:rPr>
      </w:pPr>
      <w:r w:rsidRPr="002167E0">
        <w:rPr>
          <w:iCs/>
        </w:rPr>
        <w:t>Reviewers</w:t>
      </w:r>
    </w:p>
    <w:p w14:paraId="7621B629" w14:textId="77777777" w:rsidR="002167E0" w:rsidRDefault="002167E0" w:rsidP="00E56B0D">
      <w:pPr>
        <w:jc w:val="both"/>
      </w:pPr>
    </w:p>
    <w:p w14:paraId="5C283967" w14:textId="77777777" w:rsidR="00E8208D" w:rsidRDefault="00E8208D" w:rsidP="00E56B0D">
      <w:pPr>
        <w:jc w:val="both"/>
      </w:pPr>
      <w:r>
        <w:t xml:space="preserve">The </w:t>
      </w:r>
      <w:r w:rsidRPr="00E8208D">
        <w:t>IEEE Transactions on Plasma Science (TPS)</w:t>
      </w:r>
      <w:r>
        <w:t xml:space="preserve"> is managed by the </w:t>
      </w:r>
      <w:r w:rsidR="009013B1" w:rsidRPr="00232ECC">
        <w:rPr>
          <w:u w:val="single"/>
        </w:rPr>
        <w:t xml:space="preserve">TPS </w:t>
      </w:r>
      <w:r w:rsidRPr="00232ECC">
        <w:rPr>
          <w:u w:val="single"/>
        </w:rPr>
        <w:t>E</w:t>
      </w:r>
      <w:r w:rsidRPr="00E8208D">
        <w:rPr>
          <w:u w:val="single"/>
        </w:rPr>
        <w:t>ditor-in-Chief</w:t>
      </w:r>
      <w:r>
        <w:t>.</w:t>
      </w:r>
    </w:p>
    <w:p w14:paraId="0E2F1530" w14:textId="77777777" w:rsidR="00E8208D" w:rsidRPr="00E8208D" w:rsidRDefault="00E8208D" w:rsidP="00E56B0D">
      <w:pPr>
        <w:jc w:val="both"/>
      </w:pPr>
    </w:p>
    <w:p w14:paraId="3F4C9413" w14:textId="724DCAA1" w:rsidR="009013B1" w:rsidRDefault="00E8208D" w:rsidP="00E56B0D">
      <w:pPr>
        <w:jc w:val="both"/>
        <w:rPr>
          <w:iCs/>
        </w:rPr>
      </w:pPr>
      <w:r w:rsidRPr="00E8208D">
        <w:rPr>
          <w:iCs/>
        </w:rPr>
        <w:t xml:space="preserve">The </w:t>
      </w:r>
      <w:r w:rsidR="009013B1">
        <w:rPr>
          <w:iCs/>
          <w:u w:val="single"/>
        </w:rPr>
        <w:t>TPS S</w:t>
      </w:r>
      <w:r w:rsidRPr="00E8208D">
        <w:rPr>
          <w:iCs/>
          <w:u w:val="single"/>
        </w:rPr>
        <w:t>enior Editor for Fusion Science &amp; Technology</w:t>
      </w:r>
      <w:r w:rsidRPr="00E8208D">
        <w:rPr>
          <w:iCs/>
        </w:rPr>
        <w:t xml:space="preserve"> is responsible for managing all aspects of the review process for papers submitted to TPS in this subject area.  In addit</w:t>
      </w:r>
      <w:r>
        <w:rPr>
          <w:iCs/>
        </w:rPr>
        <w:t xml:space="preserve">ion, the </w:t>
      </w:r>
      <w:r w:rsidR="009013B1">
        <w:rPr>
          <w:iCs/>
          <w:u w:val="single"/>
        </w:rPr>
        <w:t>TPS S</w:t>
      </w:r>
      <w:r w:rsidRPr="009013B1">
        <w:rPr>
          <w:iCs/>
          <w:u w:val="single"/>
        </w:rPr>
        <w:t>enior Editor</w:t>
      </w:r>
      <w:r w:rsidR="00232ECC">
        <w:rPr>
          <w:iCs/>
          <w:u w:val="single"/>
        </w:rPr>
        <w:t xml:space="preserve"> </w:t>
      </w:r>
      <w:r w:rsidR="00232ECC" w:rsidRPr="00E8208D">
        <w:rPr>
          <w:iCs/>
          <w:u w:val="single"/>
        </w:rPr>
        <w:t>for Fusion Science &amp; Technology</w:t>
      </w:r>
      <w:r w:rsidR="00232ECC">
        <w:rPr>
          <w:iCs/>
        </w:rPr>
        <w:t xml:space="preserve"> </w:t>
      </w:r>
      <w:r>
        <w:rPr>
          <w:iCs/>
        </w:rPr>
        <w:t xml:space="preserve">is </w:t>
      </w:r>
      <w:r w:rsidRPr="00E8208D">
        <w:rPr>
          <w:iCs/>
        </w:rPr>
        <w:t>responsible f</w:t>
      </w:r>
      <w:r>
        <w:rPr>
          <w:iCs/>
        </w:rPr>
        <w:t xml:space="preserve">or supervising the </w:t>
      </w:r>
      <w:r w:rsidR="009013B1">
        <w:rPr>
          <w:iCs/>
          <w:u w:val="single"/>
        </w:rPr>
        <w:t>TPS G</w:t>
      </w:r>
      <w:r w:rsidRPr="009013B1">
        <w:rPr>
          <w:iCs/>
          <w:u w:val="single"/>
        </w:rPr>
        <w:t>uest Editor</w:t>
      </w:r>
      <w:r w:rsidRPr="00E8208D">
        <w:rPr>
          <w:iCs/>
        </w:rPr>
        <w:t xml:space="preserve"> of the biennial Special Issue from SOFE.  </w:t>
      </w:r>
    </w:p>
    <w:p w14:paraId="77D97B3C" w14:textId="77777777" w:rsidR="00E8208D" w:rsidRPr="00232ECC" w:rsidRDefault="009013B1" w:rsidP="00E56B0D">
      <w:pPr>
        <w:jc w:val="both"/>
        <w:rPr>
          <w:iCs/>
        </w:rPr>
      </w:pPr>
      <w:r>
        <w:rPr>
          <w:i/>
          <w:iCs/>
        </w:rPr>
        <w:t xml:space="preserve"> </w:t>
      </w:r>
    </w:p>
    <w:p w14:paraId="6D59A0EF" w14:textId="77777777" w:rsidR="009013B1" w:rsidRPr="00E8208D" w:rsidRDefault="009013B1" w:rsidP="00E56B0D">
      <w:pPr>
        <w:jc w:val="both"/>
        <w:rPr>
          <w:iCs/>
        </w:rPr>
      </w:pPr>
      <w:r>
        <w:rPr>
          <w:iCs/>
        </w:rPr>
        <w:t xml:space="preserve">Each SOFE appoints a </w:t>
      </w:r>
      <w:r>
        <w:rPr>
          <w:iCs/>
          <w:u w:val="single"/>
        </w:rPr>
        <w:t>SOFE P</w:t>
      </w:r>
      <w:r w:rsidRPr="009013B1">
        <w:rPr>
          <w:iCs/>
          <w:u w:val="single"/>
        </w:rPr>
        <w:t>ublication Chair</w:t>
      </w:r>
      <w:r>
        <w:rPr>
          <w:iCs/>
        </w:rPr>
        <w:t xml:space="preserve"> who serves as the </w:t>
      </w:r>
      <w:r>
        <w:rPr>
          <w:iCs/>
          <w:u w:val="single"/>
        </w:rPr>
        <w:t>TPS G</w:t>
      </w:r>
      <w:r w:rsidRPr="009013B1">
        <w:rPr>
          <w:iCs/>
          <w:u w:val="single"/>
        </w:rPr>
        <w:t>uest Editor</w:t>
      </w:r>
      <w:r w:rsidRPr="00E8208D">
        <w:rPr>
          <w:iCs/>
        </w:rPr>
        <w:t xml:space="preserve"> of the biennial </w:t>
      </w:r>
      <w:r>
        <w:rPr>
          <w:iCs/>
        </w:rPr>
        <w:t xml:space="preserve">TPS </w:t>
      </w:r>
      <w:r w:rsidRPr="00E8208D">
        <w:rPr>
          <w:iCs/>
        </w:rPr>
        <w:t>Special Issue from SOFE</w:t>
      </w:r>
      <w:r>
        <w:rPr>
          <w:iCs/>
        </w:rPr>
        <w:t xml:space="preserve"> and also manages the conference proceedings</w:t>
      </w:r>
      <w:r w:rsidRPr="00E8208D">
        <w:rPr>
          <w:iCs/>
        </w:rPr>
        <w:t>.  </w:t>
      </w:r>
    </w:p>
    <w:p w14:paraId="227FDFA5" w14:textId="77777777" w:rsidR="00D33AA8" w:rsidRDefault="00D33AA8" w:rsidP="00E56B0D">
      <w:pPr>
        <w:jc w:val="both"/>
        <w:rPr>
          <w:iCs/>
        </w:rPr>
      </w:pPr>
    </w:p>
    <w:p w14:paraId="1EB3894C" w14:textId="25D0D1E8" w:rsidR="009013B1" w:rsidRPr="00232ECC" w:rsidRDefault="009013B1" w:rsidP="00E56B0D">
      <w:pPr>
        <w:jc w:val="both"/>
        <w:rPr>
          <w:iCs/>
          <w:u w:val="single"/>
        </w:rPr>
      </w:pPr>
      <w:r>
        <w:rPr>
          <w:iCs/>
        </w:rPr>
        <w:t xml:space="preserve">The </w:t>
      </w:r>
      <w:r>
        <w:rPr>
          <w:iCs/>
          <w:u w:val="single"/>
        </w:rPr>
        <w:t>TPS G</w:t>
      </w:r>
      <w:r w:rsidRPr="009013B1">
        <w:rPr>
          <w:iCs/>
          <w:u w:val="single"/>
        </w:rPr>
        <w:t>uest Editor</w:t>
      </w:r>
      <w:r>
        <w:rPr>
          <w:iCs/>
        </w:rPr>
        <w:t xml:space="preserve"> assigns </w:t>
      </w:r>
      <w:r w:rsidRPr="009013B1">
        <w:rPr>
          <w:iCs/>
          <w:u w:val="single"/>
        </w:rPr>
        <w:t>Associate Guest Editors</w:t>
      </w:r>
      <w:r>
        <w:rPr>
          <w:iCs/>
        </w:rPr>
        <w:t xml:space="preserve"> </w:t>
      </w:r>
      <w:r w:rsidR="00E56B0D">
        <w:rPr>
          <w:iCs/>
        </w:rPr>
        <w:t>who</w:t>
      </w:r>
      <w:r>
        <w:rPr>
          <w:iCs/>
        </w:rPr>
        <w:t xml:space="preserve"> </w:t>
      </w:r>
      <w:r w:rsidR="0000522C">
        <w:rPr>
          <w:iCs/>
        </w:rPr>
        <w:t>organize and process reviews of submitted paper</w:t>
      </w:r>
      <w:r w:rsidR="00E56B0D">
        <w:rPr>
          <w:iCs/>
        </w:rPr>
        <w:t>s via the</w:t>
      </w:r>
      <w:r w:rsidR="00E56B0D" w:rsidRPr="00E56B0D">
        <w:rPr>
          <w:iCs/>
        </w:rPr>
        <w:t xml:space="preserve"> IEEE </w:t>
      </w:r>
      <w:proofErr w:type="spellStart"/>
      <w:r w:rsidR="00E56B0D" w:rsidRPr="00E56B0D">
        <w:rPr>
          <w:iCs/>
        </w:rPr>
        <w:t>ScholarOne</w:t>
      </w:r>
      <w:proofErr w:type="spellEnd"/>
      <w:r w:rsidR="00E56B0D" w:rsidRPr="00E56B0D">
        <w:rPr>
          <w:iCs/>
        </w:rPr>
        <w:t xml:space="preserve"> Manuscripts website at </w:t>
      </w:r>
      <w:hyperlink r:id="rId5" w:history="1">
        <w:r w:rsidR="00E56B0D" w:rsidRPr="00E56B0D">
          <w:rPr>
            <w:rStyle w:val="Hyperlink"/>
            <w:iCs/>
          </w:rPr>
          <w:t>https://mc.manuscriptcentral.com/tps-ieee</w:t>
        </w:r>
      </w:hyperlink>
      <w:r w:rsidR="00E56B0D" w:rsidRPr="00E56B0D">
        <w:rPr>
          <w:iCs/>
        </w:rPr>
        <w:t>.</w:t>
      </w:r>
      <w:r w:rsidR="00E56B0D">
        <w:rPr>
          <w:iCs/>
        </w:rPr>
        <w:t xml:space="preserve"> </w:t>
      </w:r>
      <w:r w:rsidR="00E56B0D">
        <w:rPr>
          <w:iCs/>
          <w:u w:val="single"/>
        </w:rPr>
        <w:t>Associate Guest Editors</w:t>
      </w:r>
      <w:r w:rsidR="00E56B0D">
        <w:rPr>
          <w:iCs/>
        </w:rPr>
        <w:t xml:space="preserve"> are sourced from the </w:t>
      </w:r>
      <w:r w:rsidR="00E56B0D" w:rsidRPr="00232ECC">
        <w:rPr>
          <w:iCs/>
          <w:u w:val="single"/>
        </w:rPr>
        <w:t>SOFE Technical Committee</w:t>
      </w:r>
      <w:r w:rsidR="004958E1">
        <w:rPr>
          <w:iCs/>
        </w:rPr>
        <w:t xml:space="preserve">, </w:t>
      </w:r>
      <w:r w:rsidR="00232ECC">
        <w:rPr>
          <w:iCs/>
        </w:rPr>
        <w:t xml:space="preserve">the </w:t>
      </w:r>
      <w:r w:rsidR="00232ECC" w:rsidRPr="00232ECC">
        <w:rPr>
          <w:iCs/>
          <w:u w:val="single"/>
        </w:rPr>
        <w:t>Fusion Technology Committee</w:t>
      </w:r>
      <w:r w:rsidR="004958E1">
        <w:rPr>
          <w:iCs/>
          <w:u w:val="single"/>
        </w:rPr>
        <w:t>, and other resources if deemed necessary</w:t>
      </w:r>
      <w:r w:rsidR="00232ECC" w:rsidRPr="00232ECC">
        <w:rPr>
          <w:iCs/>
          <w:u w:val="single"/>
        </w:rPr>
        <w:t>.</w:t>
      </w:r>
    </w:p>
    <w:p w14:paraId="68A6DF9B" w14:textId="77777777" w:rsidR="009013B1" w:rsidRDefault="009013B1" w:rsidP="00E56B0D">
      <w:pPr>
        <w:jc w:val="both"/>
        <w:rPr>
          <w:iCs/>
        </w:rPr>
      </w:pPr>
    </w:p>
    <w:p w14:paraId="64DD2395" w14:textId="1FA947BB" w:rsidR="009013B1" w:rsidRDefault="00BF6F72" w:rsidP="00E56B0D">
      <w:pPr>
        <w:jc w:val="both"/>
        <w:rPr>
          <w:iCs/>
        </w:rPr>
      </w:pPr>
      <w:r>
        <w:rPr>
          <w:iCs/>
        </w:rPr>
        <w:t xml:space="preserve">Submitted papers are </w:t>
      </w:r>
      <w:r w:rsidR="0000522C">
        <w:rPr>
          <w:iCs/>
        </w:rPr>
        <w:t xml:space="preserve">subject to review by at least two </w:t>
      </w:r>
      <w:r w:rsidR="00E56B0D">
        <w:rPr>
          <w:iCs/>
          <w:u w:val="single"/>
        </w:rPr>
        <w:t>Reviewers</w:t>
      </w:r>
      <w:r w:rsidR="0000522C">
        <w:rPr>
          <w:iCs/>
        </w:rPr>
        <w:t xml:space="preserve"> </w:t>
      </w:r>
      <w:r w:rsidR="00E56B0D">
        <w:rPr>
          <w:iCs/>
        </w:rPr>
        <w:t xml:space="preserve">with expertise in the </w:t>
      </w:r>
      <w:r w:rsidR="000846D6">
        <w:rPr>
          <w:iCs/>
        </w:rPr>
        <w:t>topic of the paper</w:t>
      </w:r>
      <w:r w:rsidR="00E56B0D">
        <w:rPr>
          <w:iCs/>
        </w:rPr>
        <w:t xml:space="preserve">. </w:t>
      </w:r>
      <w:r w:rsidR="00286F26">
        <w:rPr>
          <w:iCs/>
        </w:rPr>
        <w:t xml:space="preserve">A pool of </w:t>
      </w:r>
      <w:r w:rsidR="004958E1">
        <w:rPr>
          <w:iCs/>
          <w:u w:val="single"/>
        </w:rPr>
        <w:t>R</w:t>
      </w:r>
      <w:r w:rsidR="00286F26">
        <w:rPr>
          <w:iCs/>
          <w:u w:val="single"/>
        </w:rPr>
        <w:t>eviewers</w:t>
      </w:r>
      <w:r w:rsidR="00286F26">
        <w:rPr>
          <w:iCs/>
        </w:rPr>
        <w:t xml:space="preserve"> is</w:t>
      </w:r>
      <w:r w:rsidR="00232ECC">
        <w:rPr>
          <w:iCs/>
        </w:rPr>
        <w:t xml:space="preserve"> sourced from the SOFE participants as part of the registration process by </w:t>
      </w:r>
      <w:r w:rsidR="000846D6">
        <w:rPr>
          <w:iCs/>
        </w:rPr>
        <w:t xml:space="preserve">indicating willingness to review papers in one or more of the topical categories of the conference. </w:t>
      </w:r>
      <w:r w:rsidR="00286F26">
        <w:rPr>
          <w:iCs/>
        </w:rPr>
        <w:t xml:space="preserve">Members of the FTC are also expected to serve as </w:t>
      </w:r>
      <w:r w:rsidR="004958E1">
        <w:rPr>
          <w:iCs/>
        </w:rPr>
        <w:t>R</w:t>
      </w:r>
      <w:r w:rsidR="00286F26">
        <w:rPr>
          <w:iCs/>
        </w:rPr>
        <w:t>eviewers for SOFE special issues.</w:t>
      </w:r>
      <w:r w:rsidR="000846D6">
        <w:rPr>
          <w:iCs/>
        </w:rPr>
        <w:t xml:space="preserve"> </w:t>
      </w:r>
      <w:r w:rsidR="002167E0">
        <w:rPr>
          <w:iCs/>
        </w:rPr>
        <w:t xml:space="preserve">Various incentives may be offered to encourage participation. Target number of reviewers should be ¼ of the targeted conference attendance based on ½ of attendees submitting papers and nominal </w:t>
      </w:r>
      <w:r w:rsidR="004958E1">
        <w:rPr>
          <w:iCs/>
        </w:rPr>
        <w:t>two</w:t>
      </w:r>
      <w:r w:rsidR="004958E1">
        <w:rPr>
          <w:iCs/>
        </w:rPr>
        <w:t xml:space="preserve"> </w:t>
      </w:r>
      <w:r w:rsidR="002167E0">
        <w:rPr>
          <w:iCs/>
        </w:rPr>
        <w:t xml:space="preserve">papers reviewed per paper. </w:t>
      </w:r>
    </w:p>
    <w:p w14:paraId="12AB0903" w14:textId="77777777" w:rsidR="00D33AA8" w:rsidRDefault="00D33AA8" w:rsidP="00E56B0D">
      <w:pPr>
        <w:jc w:val="both"/>
      </w:pPr>
    </w:p>
    <w:p w14:paraId="363E8361" w14:textId="77777777" w:rsidR="00246EAE" w:rsidRDefault="00246EAE">
      <w:pPr>
        <w:rPr>
          <w:u w:val="single"/>
        </w:rPr>
      </w:pPr>
      <w:r>
        <w:rPr>
          <w:u w:val="single"/>
        </w:rPr>
        <w:br w:type="page"/>
      </w:r>
    </w:p>
    <w:p w14:paraId="4685718F" w14:textId="29297371" w:rsidR="00D33AA8" w:rsidRPr="007008B0" w:rsidRDefault="00D33AA8" w:rsidP="0028134B">
      <w:pPr>
        <w:jc w:val="both"/>
        <w:outlineLvl w:val="0"/>
        <w:rPr>
          <w:u w:val="single"/>
        </w:rPr>
      </w:pPr>
      <w:bookmarkStart w:id="0" w:name="_GoBack"/>
      <w:bookmarkEnd w:id="0"/>
      <w:r w:rsidRPr="007008B0">
        <w:rPr>
          <w:u w:val="single"/>
        </w:rPr>
        <w:lastRenderedPageBreak/>
        <w:t>Proceedings</w:t>
      </w:r>
    </w:p>
    <w:p w14:paraId="08626101" w14:textId="77777777" w:rsidR="00D33AA8" w:rsidRDefault="00D33AA8" w:rsidP="00D33AA8"/>
    <w:p w14:paraId="00BE1D9B" w14:textId="48140332" w:rsidR="00061A3D" w:rsidRPr="00061A3D" w:rsidRDefault="007008B0" w:rsidP="00061A3D">
      <w:pPr>
        <w:jc w:val="both"/>
      </w:pPr>
      <w:r>
        <w:t xml:space="preserve">Conference proceedings consist of </w:t>
      </w:r>
      <w:r w:rsidR="00061A3D">
        <w:t>presentation materials (slides from oral presentations</w:t>
      </w:r>
      <w:r w:rsidR="003A3FE6">
        <w:t>,</w:t>
      </w:r>
      <w:r w:rsidR="00061A3D">
        <w:t xml:space="preserve"> or posters</w:t>
      </w:r>
      <w:r w:rsidR="007B4156">
        <w:t>, as applicable</w:t>
      </w:r>
      <w:r w:rsidR="00061A3D">
        <w:t>) that are to be submitted by all participants</w:t>
      </w:r>
      <w:r w:rsidR="00061A3D" w:rsidRPr="00061A3D">
        <w:t xml:space="preserve"> </w:t>
      </w:r>
      <w:r w:rsidR="00061A3D">
        <w:t>to the publications desk at</w:t>
      </w:r>
      <w:r w:rsidR="00061A3D" w:rsidRPr="00061A3D">
        <w:t xml:space="preserve"> the conference. A compilation of </w:t>
      </w:r>
      <w:r w:rsidR="00061A3D">
        <w:t>these materials</w:t>
      </w:r>
      <w:r w:rsidR="00061A3D" w:rsidRPr="00061A3D">
        <w:t xml:space="preserve"> will be made available after the conference, via password-protected download, to all registered participants</w:t>
      </w:r>
      <w:r w:rsidR="00061A3D">
        <w:t xml:space="preserve">. </w:t>
      </w:r>
      <w:r w:rsidR="007B4156">
        <w:t>Password access will be required for a period of at least one year after the conference.  Data will be stored an</w:t>
      </w:r>
      <w:r w:rsidR="000F6EFE">
        <w:t>d</w:t>
      </w:r>
      <w:r w:rsidR="007B4156">
        <w:t xml:space="preserve"> maintained on an IEEE/NPSS server. </w:t>
      </w:r>
    </w:p>
    <w:p w14:paraId="413025FA" w14:textId="0516C923" w:rsidR="00D33AA8" w:rsidRDefault="00061A3D" w:rsidP="00D33AA8">
      <w:r>
        <w:t xml:space="preserve"> </w:t>
      </w:r>
    </w:p>
    <w:p w14:paraId="42CB7DFD" w14:textId="1B9CCE3D" w:rsidR="000F6EFE" w:rsidRPr="000F6EFE" w:rsidRDefault="000F6EFE" w:rsidP="0028134B">
      <w:pPr>
        <w:outlineLvl w:val="0"/>
        <w:rPr>
          <w:u w:val="single"/>
        </w:rPr>
      </w:pPr>
      <w:r w:rsidRPr="000F6EFE">
        <w:rPr>
          <w:u w:val="single"/>
        </w:rPr>
        <w:t xml:space="preserve">TPS </w:t>
      </w:r>
      <w:r>
        <w:rPr>
          <w:u w:val="single"/>
        </w:rPr>
        <w:t>Papers</w:t>
      </w:r>
    </w:p>
    <w:p w14:paraId="13AD312C" w14:textId="77777777" w:rsidR="000F6EFE" w:rsidRDefault="000F6EFE" w:rsidP="00D33AA8"/>
    <w:p w14:paraId="3050D72D" w14:textId="464FF060" w:rsidR="000F6EFE" w:rsidRDefault="000F6EFE" w:rsidP="00EB3668">
      <w:pPr>
        <w:jc w:val="both"/>
      </w:pPr>
      <w:r>
        <w:t xml:space="preserve">The </w:t>
      </w:r>
      <w:r w:rsidR="003D4341">
        <w:rPr>
          <w:u w:val="single"/>
        </w:rPr>
        <w:t>T</w:t>
      </w:r>
      <w:r w:rsidRPr="000F6EFE">
        <w:rPr>
          <w:u w:val="single"/>
        </w:rPr>
        <w:t>PS Guest Editor</w:t>
      </w:r>
      <w:r w:rsidR="003D4341" w:rsidRPr="0028134B">
        <w:t xml:space="preserve"> </w:t>
      </w:r>
      <w:r>
        <w:t xml:space="preserve">assigns papers to the </w:t>
      </w:r>
      <w:r w:rsidRPr="000F6EFE">
        <w:rPr>
          <w:u w:val="single"/>
        </w:rPr>
        <w:t>Associate Guest Editors</w:t>
      </w:r>
      <w:r>
        <w:t xml:space="preserve"> based on topical area.</w:t>
      </w:r>
      <w:r w:rsidR="00C1456B">
        <w:t xml:space="preserve"> </w:t>
      </w:r>
      <w:r>
        <w:t xml:space="preserve">The </w:t>
      </w:r>
      <w:r w:rsidRPr="003D4341">
        <w:rPr>
          <w:u w:val="single"/>
        </w:rPr>
        <w:t>Associate Guest Editors</w:t>
      </w:r>
      <w:r>
        <w:t xml:space="preserve"> manage the review process</w:t>
      </w:r>
      <w:r w:rsidR="00286F26">
        <w:t xml:space="preserve">, including recruitment of reviewers </w:t>
      </w:r>
      <w:r w:rsidR="00EB3668">
        <w:t>and assign</w:t>
      </w:r>
      <w:r w:rsidR="00286F26">
        <w:t>ment of</w:t>
      </w:r>
      <w:r w:rsidR="00EB3668">
        <w:t xml:space="preserve"> papers to the </w:t>
      </w:r>
      <w:r w:rsidR="00EB3668" w:rsidRPr="00EB3668">
        <w:rPr>
          <w:u w:val="single"/>
        </w:rPr>
        <w:t>Reviewers</w:t>
      </w:r>
      <w:r w:rsidR="00286F26">
        <w:t>,</w:t>
      </w:r>
      <w:r w:rsidR="00EB3668">
        <w:t xml:space="preserve"> </w:t>
      </w:r>
      <w:r>
        <w:t xml:space="preserve">via </w:t>
      </w:r>
      <w:r w:rsidR="003D4341">
        <w:rPr>
          <w:iCs/>
        </w:rPr>
        <w:t>the</w:t>
      </w:r>
      <w:r w:rsidR="003D4341" w:rsidRPr="00E56B0D">
        <w:rPr>
          <w:iCs/>
        </w:rPr>
        <w:t xml:space="preserve"> IEEE </w:t>
      </w:r>
      <w:proofErr w:type="spellStart"/>
      <w:r w:rsidR="003D4341" w:rsidRPr="00E56B0D">
        <w:rPr>
          <w:iCs/>
        </w:rPr>
        <w:t>ScholarOne</w:t>
      </w:r>
      <w:proofErr w:type="spellEnd"/>
      <w:r w:rsidR="003D4341" w:rsidRPr="00E56B0D">
        <w:rPr>
          <w:iCs/>
        </w:rPr>
        <w:t xml:space="preserve"> Manuscripts website</w:t>
      </w:r>
      <w:r w:rsidR="000A2488">
        <w:rPr>
          <w:iCs/>
        </w:rPr>
        <w:t>, which also provides the status of the review process.</w:t>
      </w:r>
      <w:r w:rsidR="003D4341" w:rsidRPr="00E56B0D">
        <w:rPr>
          <w:iCs/>
        </w:rPr>
        <w:t xml:space="preserve"> </w:t>
      </w:r>
      <w:r w:rsidR="000A2488">
        <w:rPr>
          <w:iCs/>
        </w:rPr>
        <w:t xml:space="preserve">The Associate Guest Editors </w:t>
      </w:r>
      <w:r>
        <w:t xml:space="preserve">provide </w:t>
      </w:r>
      <w:r w:rsidR="003D4341">
        <w:t xml:space="preserve">regular </w:t>
      </w:r>
      <w:r>
        <w:t xml:space="preserve">status </w:t>
      </w:r>
      <w:r w:rsidR="003D4341">
        <w:t xml:space="preserve">updates </w:t>
      </w:r>
      <w:r>
        <w:t xml:space="preserve">to the </w:t>
      </w:r>
      <w:r w:rsidR="003D4341">
        <w:rPr>
          <w:u w:val="single"/>
        </w:rPr>
        <w:t>T</w:t>
      </w:r>
      <w:r w:rsidR="003D4341" w:rsidRPr="000F6EFE">
        <w:rPr>
          <w:u w:val="single"/>
        </w:rPr>
        <w:t>PS Guest Editor</w:t>
      </w:r>
      <w:r w:rsidR="003D4341" w:rsidRPr="0028134B">
        <w:t xml:space="preserve"> </w:t>
      </w:r>
      <w:r w:rsidR="003D4341">
        <w:rPr>
          <w:u w:val="single"/>
        </w:rPr>
        <w:t>= SOFE Publication Chair</w:t>
      </w:r>
      <w:r w:rsidR="003D4341">
        <w:t xml:space="preserve"> who provides</w:t>
      </w:r>
      <w:r w:rsidR="003D4341">
        <w:t xml:space="preserve"> regular status updates to the </w:t>
      </w:r>
      <w:r w:rsidR="003D4341" w:rsidRPr="003D4341">
        <w:rPr>
          <w:u w:val="single"/>
        </w:rPr>
        <w:t>SOFE Conference Chair</w:t>
      </w:r>
      <w:r w:rsidR="003D4341">
        <w:t xml:space="preserve"> and the </w:t>
      </w:r>
      <w:r w:rsidR="003D4341" w:rsidRPr="003D4341">
        <w:rPr>
          <w:u w:val="single"/>
        </w:rPr>
        <w:t>FTC Chair</w:t>
      </w:r>
      <w:r>
        <w:t xml:space="preserve">. </w:t>
      </w:r>
      <w:r w:rsidR="00EB3668">
        <w:t xml:space="preserve">The </w:t>
      </w:r>
      <w:r w:rsidR="00EB3668" w:rsidRPr="003D4341">
        <w:rPr>
          <w:u w:val="single"/>
        </w:rPr>
        <w:t>Associate Guest Editors</w:t>
      </w:r>
      <w:r w:rsidR="00EB3668">
        <w:t xml:space="preserve"> contact the Reviewers on a regular basis to ensure timely response on review of papers and revisions to papers</w:t>
      </w:r>
      <w:r w:rsidR="00EB3668">
        <w:t xml:space="preserve">. </w:t>
      </w:r>
      <w:r w:rsidR="00286F26">
        <w:t xml:space="preserve">Shortfalls in </w:t>
      </w:r>
      <w:r w:rsidR="00286F26" w:rsidRPr="00C1456B">
        <w:rPr>
          <w:u w:val="single"/>
        </w:rPr>
        <w:t>Reviewers</w:t>
      </w:r>
      <w:r w:rsidR="00286F26">
        <w:t xml:space="preserve"> are brought to attention of the FTC for supplementation, if needed</w:t>
      </w:r>
      <w:r w:rsidR="000A2488">
        <w:t>.</w:t>
      </w:r>
      <w:r w:rsidR="00EB3668">
        <w:t xml:space="preserve"> </w:t>
      </w:r>
    </w:p>
    <w:p w14:paraId="105330DD" w14:textId="62864D26" w:rsidR="001F3F9F" w:rsidRDefault="001F3F9F" w:rsidP="00EB3668">
      <w:pPr>
        <w:jc w:val="both"/>
      </w:pPr>
    </w:p>
    <w:p w14:paraId="1C26A548" w14:textId="6C7ABFE9" w:rsidR="00286F26" w:rsidRDefault="00286F26" w:rsidP="001C11D5">
      <w:r>
        <w:t>The TPS Guest Editor shall establish</w:t>
      </w:r>
      <w:r w:rsidR="001055E6">
        <w:t>, in advance,</w:t>
      </w:r>
      <w:r>
        <w:t xml:space="preserve"> a schedule for</w:t>
      </w:r>
      <w:r w:rsidR="001055E6">
        <w:t xml:space="preserve"> completion of the Special Issue. The purpose is to ensure timely publication and to set </w:t>
      </w:r>
      <w:r w:rsidR="00862C37">
        <w:t xml:space="preserve">baseline </w:t>
      </w:r>
      <w:r w:rsidR="001055E6">
        <w:t>expectations for submitters, associate guest editors, and reviewers.</w:t>
      </w:r>
      <w:r w:rsidR="00862C37">
        <w:t xml:space="preserve">  </w:t>
      </w:r>
      <w:r w:rsidR="001055E6">
        <w:t>A suggested schedule (in months after the conference) is as follows:</w:t>
      </w:r>
    </w:p>
    <w:p w14:paraId="4F43D794" w14:textId="77777777" w:rsidR="00C17A7E" w:rsidRDefault="00C17A7E" w:rsidP="001C11D5"/>
    <w:p w14:paraId="2C7C1204" w14:textId="3A03A0C4" w:rsidR="001055E6" w:rsidRDefault="001055E6" w:rsidP="00C17A7E">
      <w:pPr>
        <w:pStyle w:val="ListParagraph"/>
        <w:numPr>
          <w:ilvl w:val="0"/>
          <w:numId w:val="2"/>
        </w:numPr>
        <w:outlineLvl w:val="0"/>
      </w:pPr>
      <w:r>
        <w:t xml:space="preserve">Submission deadline:  +1 </w:t>
      </w:r>
      <w:proofErr w:type="gramStart"/>
      <w:r>
        <w:t>month</w:t>
      </w:r>
      <w:proofErr w:type="gramEnd"/>
    </w:p>
    <w:p w14:paraId="5EB97F14" w14:textId="293BC69A" w:rsidR="001055E6" w:rsidRDefault="00862C37" w:rsidP="00C17A7E">
      <w:pPr>
        <w:pStyle w:val="ListParagraph"/>
        <w:numPr>
          <w:ilvl w:val="0"/>
          <w:numId w:val="2"/>
        </w:numPr>
      </w:pPr>
      <w:r>
        <w:t>Target for completion of</w:t>
      </w:r>
      <w:r w:rsidR="001055E6">
        <w:t xml:space="preserve"> first reviews:  +3 months</w:t>
      </w:r>
    </w:p>
    <w:p w14:paraId="141CB344" w14:textId="22705636" w:rsidR="001055E6" w:rsidRDefault="001055E6" w:rsidP="00C17A7E">
      <w:pPr>
        <w:pStyle w:val="ListParagraph"/>
        <w:numPr>
          <w:ilvl w:val="0"/>
          <w:numId w:val="2"/>
        </w:numPr>
        <w:outlineLvl w:val="0"/>
      </w:pPr>
      <w:r>
        <w:t>Submission deadline for revisions: +6 months</w:t>
      </w:r>
    </w:p>
    <w:p w14:paraId="5FE655A4" w14:textId="1DE5E45C" w:rsidR="001055E6" w:rsidRDefault="002744D4" w:rsidP="00C17A7E">
      <w:pPr>
        <w:pStyle w:val="ListParagraph"/>
        <w:numPr>
          <w:ilvl w:val="0"/>
          <w:numId w:val="2"/>
        </w:numPr>
      </w:pPr>
      <w:r>
        <w:t>Deadline</w:t>
      </w:r>
      <w:r w:rsidR="00862C37">
        <w:t xml:space="preserve"> for completion of all</w:t>
      </w:r>
      <w:r w:rsidR="001055E6">
        <w:t xml:space="preserve"> reviews</w:t>
      </w:r>
      <w:r w:rsidR="00862C37">
        <w:t xml:space="preserve"> and acceptance/rejection decisions</w:t>
      </w:r>
      <w:r w:rsidR="001055E6">
        <w:t>:</w:t>
      </w:r>
      <w:r w:rsidR="00862C37">
        <w:t> +8 months</w:t>
      </w:r>
    </w:p>
    <w:p w14:paraId="05A75B5D" w14:textId="77777777" w:rsidR="00C17A7E" w:rsidRDefault="00C17A7E" w:rsidP="001C11D5">
      <w:pPr>
        <w:ind w:left="720"/>
      </w:pPr>
    </w:p>
    <w:p w14:paraId="383B63FC" w14:textId="3CD3F0C7" w:rsidR="001055E6" w:rsidRDefault="001055E6" w:rsidP="00694049">
      <w:pPr>
        <w:outlineLvl w:val="0"/>
      </w:pPr>
      <w:r w:rsidRPr="00862C37">
        <w:rPr>
          <w:u w:val="single"/>
        </w:rPr>
        <w:t>Policy</w:t>
      </w:r>
      <w:r>
        <w:t>:</w:t>
      </w:r>
    </w:p>
    <w:p w14:paraId="23780AD2" w14:textId="77777777" w:rsidR="00C17A7E" w:rsidRDefault="00C17A7E" w:rsidP="00694049">
      <w:pPr>
        <w:outlineLvl w:val="0"/>
      </w:pPr>
    </w:p>
    <w:p w14:paraId="2F572284" w14:textId="40A8385D" w:rsidR="001055E6" w:rsidRDefault="001055E6" w:rsidP="00C17A7E">
      <w:pPr>
        <w:pStyle w:val="ListParagraph"/>
        <w:numPr>
          <w:ilvl w:val="0"/>
          <w:numId w:val="3"/>
        </w:numPr>
      </w:pPr>
      <w:r>
        <w:t>No papers will be accepted for the special issue after the submission deadlin</w:t>
      </w:r>
      <w:r w:rsidR="00862C37">
        <w:t>e.</w:t>
      </w:r>
    </w:p>
    <w:p w14:paraId="76C6B8B0" w14:textId="0EC5311E" w:rsidR="00862C37" w:rsidRDefault="00862C37" w:rsidP="00C17A7E">
      <w:pPr>
        <w:pStyle w:val="ListParagraph"/>
        <w:numPr>
          <w:ilvl w:val="0"/>
          <w:numId w:val="3"/>
        </w:numPr>
      </w:pPr>
      <w:r>
        <w:t>Revisions received after the revision deadline will be con</w:t>
      </w:r>
      <w:r w:rsidR="00C17A7E">
        <w:t xml:space="preserve">sidered for publication in </w:t>
      </w:r>
      <w:proofErr w:type="gramStart"/>
      <w:r w:rsidR="00C17A7E">
        <w:t xml:space="preserve">TPS, </w:t>
      </w:r>
      <w:r>
        <w:t>but</w:t>
      </w:r>
      <w:proofErr w:type="gramEnd"/>
      <w:r>
        <w:t xml:space="preserve"> will not be assured of publication in the Special Issue.</w:t>
      </w:r>
    </w:p>
    <w:p w14:paraId="28CC420F" w14:textId="2D40EF22" w:rsidR="00862C37" w:rsidRDefault="00862C37" w:rsidP="00C17A7E">
      <w:pPr>
        <w:pStyle w:val="ListParagraph"/>
        <w:numPr>
          <w:ilvl w:val="0"/>
          <w:numId w:val="3"/>
        </w:numPr>
      </w:pPr>
      <w:r>
        <w:t>The TPS Guest Editor may</w:t>
      </w:r>
      <w:r w:rsidR="00C721CF">
        <w:t>, at his or her discretion,</w:t>
      </w:r>
      <w:r>
        <w:t xml:space="preserve"> </w:t>
      </w:r>
      <w:r w:rsidR="00C721CF">
        <w:t>allow extra grace periods on a case-by-case basis.</w:t>
      </w:r>
    </w:p>
    <w:p w14:paraId="3A7C1AE9" w14:textId="77777777" w:rsidR="00C17A7E" w:rsidRDefault="00C17A7E" w:rsidP="00C17A7E">
      <w:pPr>
        <w:jc w:val="both"/>
      </w:pPr>
    </w:p>
    <w:p w14:paraId="554A93DA" w14:textId="6E351550" w:rsidR="001F3F9F" w:rsidRPr="00EB3668" w:rsidRDefault="00C721CF" w:rsidP="00C17A7E">
      <w:pPr>
        <w:jc w:val="both"/>
      </w:pPr>
      <w:r>
        <w:lastRenderedPageBreak/>
        <w:t xml:space="preserve">The TPS Guest Editor may, in exceptional cases and with </w:t>
      </w:r>
      <w:r w:rsidR="002744D4">
        <w:t>good</w:t>
      </w:r>
      <w:r>
        <w:t xml:space="preserve"> justification, make acceptance/rejection decision on the basis of a single review. Typically</w:t>
      </w:r>
      <w:r w:rsidR="00C17A7E">
        <w:t>,</w:t>
      </w:r>
      <w:r>
        <w:t xml:space="preserve"> </w:t>
      </w:r>
      <w:r w:rsidR="002744D4">
        <w:t>the editor will exercise this option in rare cases when the authors have been timely, the single review is of good quality, but the second review is delinquent.</w:t>
      </w:r>
      <w:r w:rsidR="00C17A7E" w:rsidRPr="00C17A7E">
        <w:rPr>
          <w:iCs/>
        </w:rPr>
        <w:t xml:space="preserve"> </w:t>
      </w:r>
      <w:r w:rsidR="00C17A7E">
        <w:rPr>
          <w:iCs/>
        </w:rPr>
        <w:t xml:space="preserve">To constrain the number of revisions, papers with English usage that is understandable, albeit imperfect, should be accepted.  </w:t>
      </w:r>
    </w:p>
    <w:sectPr w:rsidR="001F3F9F" w:rsidRPr="00EB3668" w:rsidSect="00F52F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5494"/>
    <w:multiLevelType w:val="hybridMultilevel"/>
    <w:tmpl w:val="FFCE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1683E"/>
    <w:multiLevelType w:val="hybridMultilevel"/>
    <w:tmpl w:val="A7B2FA8C"/>
    <w:lvl w:ilvl="0" w:tplc="36A0ECB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B2A"/>
    <w:multiLevelType w:val="hybridMultilevel"/>
    <w:tmpl w:val="1298D8D2"/>
    <w:lvl w:ilvl="0" w:tplc="36A0ECB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8"/>
    <w:rsid w:val="0000522C"/>
    <w:rsid w:val="0001434B"/>
    <w:rsid w:val="00061A3D"/>
    <w:rsid w:val="000846D6"/>
    <w:rsid w:val="000A2488"/>
    <w:rsid w:val="000F6EFE"/>
    <w:rsid w:val="001055E6"/>
    <w:rsid w:val="001C11D5"/>
    <w:rsid w:val="001F3F9F"/>
    <w:rsid w:val="002167E0"/>
    <w:rsid w:val="00232ECC"/>
    <w:rsid w:val="00246EAE"/>
    <w:rsid w:val="002744D4"/>
    <w:rsid w:val="0028134B"/>
    <w:rsid w:val="00286F26"/>
    <w:rsid w:val="003A3FE6"/>
    <w:rsid w:val="003D4341"/>
    <w:rsid w:val="003E4FC2"/>
    <w:rsid w:val="004958E1"/>
    <w:rsid w:val="00694049"/>
    <w:rsid w:val="006B6271"/>
    <w:rsid w:val="006B6F3F"/>
    <w:rsid w:val="007008B0"/>
    <w:rsid w:val="007B4156"/>
    <w:rsid w:val="00862C37"/>
    <w:rsid w:val="0087564D"/>
    <w:rsid w:val="00883EC0"/>
    <w:rsid w:val="008C618E"/>
    <w:rsid w:val="009013B1"/>
    <w:rsid w:val="009A450D"/>
    <w:rsid w:val="00BA6F8A"/>
    <w:rsid w:val="00BD2D1C"/>
    <w:rsid w:val="00BD647E"/>
    <w:rsid w:val="00BF6F72"/>
    <w:rsid w:val="00C1456B"/>
    <w:rsid w:val="00C17A7E"/>
    <w:rsid w:val="00C721CF"/>
    <w:rsid w:val="00D33AA8"/>
    <w:rsid w:val="00E56B0D"/>
    <w:rsid w:val="00E8208D"/>
    <w:rsid w:val="00EB3668"/>
    <w:rsid w:val="00F5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BC499"/>
  <w15:docId w15:val="{907DBE67-271F-4F88-A149-01CF27C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A8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character" w:styleId="Hyperlink">
    <w:name w:val="Hyperlink"/>
    <w:basedOn w:val="DefaultParagraphFont"/>
    <w:uiPriority w:val="99"/>
    <w:unhideWhenUsed/>
    <w:rsid w:val="00E56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7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D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D"/>
    <w:rPr>
      <w:rFonts w:ascii="Helvetica" w:hAnsi="Helvetic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.manuscriptcentral.com/tps-ie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Neumeyer</dc:creator>
  <cp:keywords/>
  <dc:description/>
  <cp:lastModifiedBy>Charles L. Neumeyer</cp:lastModifiedBy>
  <cp:revision>2</cp:revision>
  <dcterms:created xsi:type="dcterms:W3CDTF">2018-08-31T17:56:00Z</dcterms:created>
  <dcterms:modified xsi:type="dcterms:W3CDTF">2018-08-31T17:56:00Z</dcterms:modified>
</cp:coreProperties>
</file>